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D2" w:rsidRPr="000960D2" w:rsidRDefault="000960D2" w:rsidP="00554171">
      <w:pPr>
        <w:numPr>
          <w:ilvl w:val="0"/>
          <w:numId w:val="1"/>
        </w:numPr>
        <w:tabs>
          <w:tab w:val="clear" w:pos="720"/>
          <w:tab w:val="num" w:pos="360"/>
        </w:tabs>
        <w:spacing w:before="240"/>
        <w:ind w:left="357" w:hanging="357"/>
        <w:jc w:val="both"/>
        <w:rPr>
          <w:rFonts w:ascii="Arial" w:eastAsia="Calibri" w:hAnsi="Arial" w:cs="Arial"/>
          <w:bCs/>
          <w:spacing w:val="-3"/>
          <w:sz w:val="22"/>
          <w:szCs w:val="22"/>
        </w:rPr>
      </w:pPr>
      <w:bookmarkStart w:id="0" w:name="_GoBack"/>
      <w:bookmarkEnd w:id="0"/>
      <w:r w:rsidRPr="000960D2">
        <w:rPr>
          <w:rFonts w:ascii="Arial" w:eastAsia="Calibri" w:hAnsi="Arial" w:cs="Arial"/>
          <w:bCs/>
          <w:spacing w:val="-3"/>
          <w:sz w:val="22"/>
          <w:szCs w:val="22"/>
        </w:rPr>
        <w:t xml:space="preserve">The Workers’ Compensation and Rehabilitation Amendment Regulation 2015 (the </w:t>
      </w:r>
      <w:r>
        <w:rPr>
          <w:rFonts w:ascii="Arial" w:eastAsia="Calibri" w:hAnsi="Arial" w:cs="Arial"/>
          <w:bCs/>
          <w:spacing w:val="-3"/>
          <w:sz w:val="22"/>
          <w:szCs w:val="22"/>
        </w:rPr>
        <w:t>amendment regulation</w:t>
      </w:r>
      <w:r w:rsidRPr="000960D2">
        <w:rPr>
          <w:rFonts w:ascii="Arial" w:eastAsia="Calibri" w:hAnsi="Arial" w:cs="Arial"/>
          <w:bCs/>
          <w:spacing w:val="-3"/>
          <w:sz w:val="22"/>
          <w:szCs w:val="22"/>
        </w:rPr>
        <w:t>) prescribe</w:t>
      </w:r>
      <w:r>
        <w:rPr>
          <w:rFonts w:ascii="Arial" w:eastAsia="Calibri" w:hAnsi="Arial" w:cs="Arial"/>
          <w:bCs/>
          <w:spacing w:val="-3"/>
          <w:sz w:val="22"/>
          <w:szCs w:val="22"/>
        </w:rPr>
        <w:t>s</w:t>
      </w:r>
      <w:r w:rsidRPr="000960D2">
        <w:rPr>
          <w:rFonts w:ascii="Arial" w:eastAsia="Calibri" w:hAnsi="Arial" w:cs="Arial"/>
          <w:bCs/>
          <w:spacing w:val="-3"/>
          <w:sz w:val="22"/>
          <w:szCs w:val="22"/>
        </w:rPr>
        <w:t xml:space="preserve"> regulation to support the operation of section 193A of the </w:t>
      </w:r>
      <w:r w:rsidR="00A909E4" w:rsidRPr="00A909E4">
        <w:rPr>
          <w:rFonts w:ascii="Arial" w:eastAsia="Calibri" w:hAnsi="Arial" w:cs="Arial"/>
          <w:bCs/>
          <w:i/>
          <w:spacing w:val="-3"/>
          <w:sz w:val="22"/>
          <w:szCs w:val="22"/>
        </w:rPr>
        <w:t xml:space="preserve">Workers’ Compensation and Rehabilitation </w:t>
      </w:r>
      <w:r w:rsidRPr="00A909E4">
        <w:rPr>
          <w:rFonts w:ascii="Arial" w:eastAsia="Calibri" w:hAnsi="Arial" w:cs="Arial"/>
          <w:bCs/>
          <w:i/>
          <w:spacing w:val="-3"/>
          <w:sz w:val="22"/>
          <w:szCs w:val="22"/>
        </w:rPr>
        <w:t>Act</w:t>
      </w:r>
      <w:r w:rsidR="00A909E4" w:rsidRPr="00A909E4">
        <w:rPr>
          <w:rFonts w:ascii="Arial" w:eastAsia="Calibri" w:hAnsi="Arial" w:cs="Arial"/>
          <w:bCs/>
          <w:i/>
          <w:spacing w:val="-3"/>
          <w:sz w:val="22"/>
          <w:szCs w:val="22"/>
        </w:rPr>
        <w:t xml:space="preserve"> 2003</w:t>
      </w:r>
      <w:r w:rsidR="00A909E4">
        <w:rPr>
          <w:rFonts w:ascii="Arial" w:eastAsia="Calibri" w:hAnsi="Arial" w:cs="Arial"/>
          <w:bCs/>
          <w:spacing w:val="-3"/>
          <w:sz w:val="22"/>
          <w:szCs w:val="22"/>
        </w:rPr>
        <w:t xml:space="preserve"> (the Act)</w:t>
      </w:r>
      <w:r w:rsidRPr="000960D2">
        <w:rPr>
          <w:rFonts w:ascii="Arial" w:eastAsia="Calibri" w:hAnsi="Arial" w:cs="Arial"/>
          <w:bCs/>
          <w:spacing w:val="-3"/>
          <w:sz w:val="22"/>
          <w:szCs w:val="22"/>
        </w:rPr>
        <w:t>.</w:t>
      </w:r>
    </w:p>
    <w:p w:rsidR="000960D2" w:rsidRPr="000960D2" w:rsidRDefault="000960D2" w:rsidP="004845D0">
      <w:pPr>
        <w:numPr>
          <w:ilvl w:val="0"/>
          <w:numId w:val="1"/>
        </w:numPr>
        <w:tabs>
          <w:tab w:val="clear" w:pos="720"/>
          <w:tab w:val="num" w:pos="360"/>
        </w:tabs>
        <w:spacing w:before="240" w:line="235" w:lineRule="auto"/>
        <w:ind w:left="360"/>
        <w:jc w:val="both"/>
        <w:rPr>
          <w:rFonts w:ascii="Arial" w:eastAsia="Calibri" w:hAnsi="Arial" w:cs="Arial"/>
          <w:bCs/>
          <w:spacing w:val="-3"/>
          <w:sz w:val="22"/>
          <w:szCs w:val="22"/>
        </w:rPr>
      </w:pPr>
      <w:r w:rsidRPr="000960D2">
        <w:rPr>
          <w:rFonts w:ascii="Arial" w:eastAsia="Calibri" w:hAnsi="Arial" w:cs="Arial"/>
          <w:bCs/>
          <w:spacing w:val="-3"/>
          <w:sz w:val="22"/>
          <w:szCs w:val="22"/>
        </w:rPr>
        <w:t xml:space="preserve">Key changes being given effect by the </w:t>
      </w:r>
      <w:r>
        <w:rPr>
          <w:rFonts w:ascii="Arial" w:eastAsia="Calibri" w:hAnsi="Arial" w:cs="Arial"/>
          <w:bCs/>
          <w:spacing w:val="-3"/>
          <w:sz w:val="22"/>
          <w:szCs w:val="22"/>
        </w:rPr>
        <w:t>amendment regulation</w:t>
      </w:r>
      <w:r w:rsidRPr="000960D2">
        <w:rPr>
          <w:rFonts w:ascii="Arial" w:eastAsia="Calibri" w:hAnsi="Arial" w:cs="Arial"/>
          <w:bCs/>
          <w:spacing w:val="-3"/>
          <w:sz w:val="22"/>
          <w:szCs w:val="22"/>
        </w:rPr>
        <w:t xml:space="preserve"> include:</w:t>
      </w:r>
    </w:p>
    <w:p w:rsidR="000960D2" w:rsidRPr="000960D2" w:rsidRDefault="000960D2" w:rsidP="00FC7899">
      <w:pPr>
        <w:numPr>
          <w:ilvl w:val="0"/>
          <w:numId w:val="5"/>
        </w:numPr>
        <w:spacing w:before="120" w:line="235" w:lineRule="auto"/>
        <w:ind w:left="709"/>
        <w:jc w:val="both"/>
        <w:rPr>
          <w:rFonts w:ascii="Arial" w:eastAsia="Calibri" w:hAnsi="Arial" w:cs="Arial"/>
          <w:bCs/>
          <w:spacing w:val="-3"/>
          <w:sz w:val="22"/>
          <w:szCs w:val="22"/>
        </w:rPr>
      </w:pPr>
      <w:r>
        <w:rPr>
          <w:rFonts w:ascii="Arial" w:eastAsia="Calibri" w:hAnsi="Arial" w:cs="Arial"/>
          <w:bCs/>
          <w:spacing w:val="-3"/>
          <w:sz w:val="22"/>
          <w:szCs w:val="22"/>
        </w:rPr>
        <w:t>Prescribing conditions for entitlement</w:t>
      </w:r>
      <w:r w:rsidR="009801EB">
        <w:rPr>
          <w:rFonts w:ascii="Arial" w:eastAsia="Calibri" w:hAnsi="Arial" w:cs="Arial"/>
          <w:bCs/>
          <w:spacing w:val="-3"/>
          <w:sz w:val="22"/>
          <w:szCs w:val="22"/>
        </w:rPr>
        <w:t>,</w:t>
      </w:r>
      <w:r>
        <w:rPr>
          <w:rFonts w:ascii="Arial" w:eastAsia="Calibri" w:hAnsi="Arial" w:cs="Arial"/>
          <w:bCs/>
          <w:spacing w:val="-3"/>
          <w:sz w:val="22"/>
          <w:szCs w:val="22"/>
        </w:rPr>
        <w:t xml:space="preserve"> </w:t>
      </w:r>
      <w:r w:rsidR="009801EB">
        <w:rPr>
          <w:rFonts w:ascii="Arial" w:eastAsia="Calibri" w:hAnsi="Arial" w:cs="Arial"/>
          <w:bCs/>
          <w:spacing w:val="-3"/>
          <w:sz w:val="22"/>
          <w:szCs w:val="22"/>
        </w:rPr>
        <w:t xml:space="preserve">the amount of compensation payable and the administrative process for determining a worker’s entitlement to additional lump sum compensation under </w:t>
      </w:r>
      <w:r>
        <w:rPr>
          <w:rFonts w:ascii="Arial" w:eastAsia="Calibri" w:hAnsi="Arial" w:cs="Arial"/>
          <w:bCs/>
          <w:spacing w:val="-3"/>
          <w:sz w:val="22"/>
          <w:szCs w:val="22"/>
        </w:rPr>
        <w:t>section 193A</w:t>
      </w:r>
      <w:r w:rsidRPr="000960D2">
        <w:rPr>
          <w:rFonts w:ascii="Arial" w:eastAsia="Calibri" w:hAnsi="Arial" w:cs="Arial"/>
          <w:bCs/>
          <w:spacing w:val="-3"/>
          <w:sz w:val="22"/>
          <w:szCs w:val="22"/>
        </w:rPr>
        <w:t xml:space="preserve">; </w:t>
      </w:r>
      <w:r w:rsidR="009801EB">
        <w:rPr>
          <w:rFonts w:ascii="Arial" w:eastAsia="Calibri" w:hAnsi="Arial" w:cs="Arial"/>
          <w:bCs/>
          <w:spacing w:val="-3"/>
          <w:sz w:val="22"/>
          <w:szCs w:val="22"/>
        </w:rPr>
        <w:t>and</w:t>
      </w:r>
    </w:p>
    <w:p w:rsidR="00AA2BD7" w:rsidRPr="000960D2" w:rsidRDefault="009801EB" w:rsidP="00FC7899">
      <w:pPr>
        <w:numPr>
          <w:ilvl w:val="0"/>
          <w:numId w:val="5"/>
        </w:numPr>
        <w:spacing w:before="120" w:line="235" w:lineRule="auto"/>
        <w:ind w:left="709"/>
        <w:jc w:val="both"/>
        <w:rPr>
          <w:rFonts w:ascii="Arial" w:eastAsia="Calibri" w:hAnsi="Arial" w:cs="Arial"/>
          <w:bCs/>
          <w:spacing w:val="-3"/>
          <w:sz w:val="22"/>
          <w:szCs w:val="22"/>
        </w:rPr>
      </w:pPr>
      <w:r>
        <w:rPr>
          <w:rFonts w:ascii="Arial" w:eastAsia="Calibri" w:hAnsi="Arial" w:cs="Arial"/>
          <w:bCs/>
          <w:spacing w:val="-3"/>
          <w:sz w:val="22"/>
          <w:szCs w:val="22"/>
        </w:rPr>
        <w:t>P</w:t>
      </w:r>
      <w:r w:rsidR="000960D2">
        <w:rPr>
          <w:rFonts w:ascii="Arial" w:eastAsia="Calibri" w:hAnsi="Arial" w:cs="Arial"/>
          <w:bCs/>
          <w:spacing w:val="-3"/>
          <w:sz w:val="22"/>
          <w:szCs w:val="22"/>
        </w:rPr>
        <w:t>roviding</w:t>
      </w:r>
      <w:r w:rsidR="000960D2" w:rsidRPr="000960D2">
        <w:rPr>
          <w:rFonts w:ascii="Arial" w:eastAsia="Calibri" w:hAnsi="Arial" w:cs="Arial"/>
          <w:bCs/>
          <w:spacing w:val="-3"/>
          <w:sz w:val="22"/>
          <w:szCs w:val="22"/>
        </w:rPr>
        <w:t xml:space="preserve"> for the establishment of a review panel to review a decision of an insurer about whether a worker is entitled to additional lump sum compensation under section</w:t>
      </w:r>
      <w:r w:rsidR="000960D2">
        <w:rPr>
          <w:rFonts w:ascii="Arial" w:eastAsia="Calibri" w:hAnsi="Arial" w:cs="Arial"/>
          <w:bCs/>
          <w:spacing w:val="-3"/>
          <w:sz w:val="22"/>
          <w:szCs w:val="22"/>
        </w:rPr>
        <w:t xml:space="preserve"> 193A</w:t>
      </w:r>
      <w:r>
        <w:rPr>
          <w:rFonts w:ascii="Arial" w:eastAsia="Calibri" w:hAnsi="Arial" w:cs="Arial"/>
          <w:bCs/>
          <w:spacing w:val="-3"/>
          <w:sz w:val="22"/>
          <w:szCs w:val="22"/>
        </w:rPr>
        <w:t>.</w:t>
      </w:r>
    </w:p>
    <w:p w:rsidR="000960D2" w:rsidRDefault="000960D2" w:rsidP="004845D0">
      <w:pPr>
        <w:numPr>
          <w:ilvl w:val="0"/>
          <w:numId w:val="1"/>
        </w:numPr>
        <w:tabs>
          <w:tab w:val="clear" w:pos="720"/>
          <w:tab w:val="num" w:pos="360"/>
        </w:tabs>
        <w:spacing w:before="240" w:line="235" w:lineRule="auto"/>
        <w:ind w:left="360"/>
        <w:jc w:val="both"/>
        <w:rPr>
          <w:rFonts w:ascii="Arial" w:eastAsia="Calibri" w:hAnsi="Arial" w:cs="Arial"/>
          <w:bCs/>
          <w:spacing w:val="-3"/>
          <w:sz w:val="22"/>
          <w:szCs w:val="22"/>
        </w:rPr>
      </w:pPr>
      <w:r w:rsidRPr="000960D2">
        <w:rPr>
          <w:rFonts w:ascii="Arial" w:eastAsia="Calibri" w:hAnsi="Arial" w:cs="Arial"/>
          <w:bCs/>
          <w:spacing w:val="-3"/>
          <w:sz w:val="22"/>
          <w:szCs w:val="22"/>
        </w:rPr>
        <w:t>The amendment regulation</w:t>
      </w:r>
      <w:r w:rsidR="00EE7C51">
        <w:rPr>
          <w:rFonts w:ascii="Arial" w:eastAsia="Calibri" w:hAnsi="Arial" w:cs="Arial"/>
          <w:bCs/>
          <w:spacing w:val="-3"/>
          <w:sz w:val="22"/>
          <w:szCs w:val="22"/>
        </w:rPr>
        <w:t xml:space="preserve"> also</w:t>
      </w:r>
      <w:r w:rsidRPr="000960D2">
        <w:rPr>
          <w:rFonts w:ascii="Arial" w:eastAsia="Calibri" w:hAnsi="Arial" w:cs="Arial"/>
          <w:bCs/>
          <w:spacing w:val="-3"/>
          <w:sz w:val="22"/>
          <w:szCs w:val="22"/>
        </w:rPr>
        <w:t xml:space="preserve"> includes </w:t>
      </w:r>
      <w:r w:rsidR="00A909E4">
        <w:rPr>
          <w:rFonts w:ascii="Arial" w:eastAsia="Calibri" w:hAnsi="Arial" w:cs="Arial"/>
          <w:bCs/>
          <w:spacing w:val="-3"/>
          <w:sz w:val="22"/>
          <w:szCs w:val="22"/>
        </w:rPr>
        <w:t xml:space="preserve">consequential </w:t>
      </w:r>
      <w:r w:rsidRPr="000960D2">
        <w:rPr>
          <w:rFonts w:ascii="Arial" w:eastAsia="Calibri" w:hAnsi="Arial" w:cs="Arial"/>
          <w:bCs/>
          <w:spacing w:val="-3"/>
          <w:sz w:val="22"/>
          <w:szCs w:val="22"/>
        </w:rPr>
        <w:t xml:space="preserve">amendments to </w:t>
      </w:r>
      <w:r w:rsidR="00A909E4">
        <w:rPr>
          <w:rFonts w:ascii="Arial" w:eastAsia="Calibri" w:hAnsi="Arial" w:cs="Arial"/>
          <w:bCs/>
          <w:spacing w:val="-3"/>
          <w:sz w:val="22"/>
          <w:szCs w:val="22"/>
        </w:rPr>
        <w:t>align with recent changes to</w:t>
      </w:r>
      <w:r w:rsidRPr="000960D2">
        <w:rPr>
          <w:rFonts w:ascii="Arial" w:eastAsia="Calibri" w:hAnsi="Arial" w:cs="Arial"/>
          <w:bCs/>
          <w:spacing w:val="-3"/>
          <w:sz w:val="22"/>
          <w:szCs w:val="22"/>
        </w:rPr>
        <w:t xml:space="preserve"> the Act. It also inserts a new section to support section 132B of the Act that provides </w:t>
      </w:r>
      <w:r w:rsidR="00A909E4">
        <w:rPr>
          <w:rFonts w:ascii="Arial" w:eastAsia="Calibri" w:hAnsi="Arial" w:cs="Arial"/>
          <w:bCs/>
          <w:spacing w:val="-3"/>
          <w:sz w:val="22"/>
          <w:szCs w:val="22"/>
        </w:rPr>
        <w:t>application requirements</w:t>
      </w:r>
      <w:r w:rsidRPr="000960D2">
        <w:rPr>
          <w:rFonts w:ascii="Arial" w:eastAsia="Calibri" w:hAnsi="Arial" w:cs="Arial"/>
          <w:bCs/>
          <w:spacing w:val="-3"/>
          <w:sz w:val="22"/>
          <w:szCs w:val="22"/>
        </w:rPr>
        <w:t xml:space="preserve"> for a dependant of a deceased worker to apply for a certificate of dependency to entitle then to commence a common law damages claim.</w:t>
      </w:r>
    </w:p>
    <w:p w:rsidR="004845D0" w:rsidRPr="000960D2" w:rsidRDefault="004845D0" w:rsidP="004845D0">
      <w:pPr>
        <w:numPr>
          <w:ilvl w:val="0"/>
          <w:numId w:val="1"/>
        </w:numPr>
        <w:tabs>
          <w:tab w:val="clear" w:pos="720"/>
          <w:tab w:val="num" w:pos="360"/>
        </w:tabs>
        <w:spacing w:before="240" w:line="235" w:lineRule="auto"/>
        <w:ind w:left="360"/>
        <w:jc w:val="both"/>
        <w:rPr>
          <w:rFonts w:ascii="Arial" w:eastAsia="Calibri" w:hAnsi="Arial" w:cs="Arial"/>
          <w:bCs/>
          <w:spacing w:val="-3"/>
          <w:sz w:val="22"/>
          <w:szCs w:val="22"/>
        </w:rPr>
      </w:pPr>
      <w:r>
        <w:rPr>
          <w:rFonts w:ascii="Arial" w:eastAsia="Calibri" w:hAnsi="Arial" w:cs="Arial"/>
          <w:bCs/>
          <w:spacing w:val="-3"/>
          <w:sz w:val="22"/>
          <w:szCs w:val="22"/>
        </w:rPr>
        <w:t>On September 2015, the Finance and Administration Committee tabled its report on the Workers’ Compensation and Rehabilitation and Other Legislation Amendment Bill 2015.  The Committee made six recommendations relating to the deemed disease provisions for firefighters, of which four are fully supported and two supported in part.</w:t>
      </w:r>
    </w:p>
    <w:p w:rsidR="000960D2" w:rsidRPr="004845D0" w:rsidRDefault="000960D2" w:rsidP="004845D0">
      <w:pPr>
        <w:numPr>
          <w:ilvl w:val="0"/>
          <w:numId w:val="1"/>
        </w:numPr>
        <w:tabs>
          <w:tab w:val="clear" w:pos="720"/>
          <w:tab w:val="num" w:pos="360"/>
        </w:tabs>
        <w:spacing w:before="240" w:line="235" w:lineRule="auto"/>
        <w:ind w:left="360"/>
        <w:jc w:val="both"/>
        <w:rPr>
          <w:rFonts w:ascii="Arial" w:eastAsia="Calibri" w:hAnsi="Arial" w:cs="Arial"/>
          <w:bCs/>
          <w:spacing w:val="-3"/>
          <w:sz w:val="22"/>
          <w:szCs w:val="22"/>
        </w:rPr>
      </w:pPr>
      <w:r w:rsidRPr="000960D2">
        <w:rPr>
          <w:rFonts w:ascii="Arial" w:eastAsia="Calibri" w:hAnsi="Arial" w:cs="Arial"/>
          <w:sz w:val="22"/>
          <w:szCs w:val="22"/>
          <w:u w:val="single"/>
        </w:rPr>
        <w:t>Cabinet endorse</w:t>
      </w:r>
      <w:r>
        <w:rPr>
          <w:rFonts w:ascii="Arial" w:eastAsia="Calibri" w:hAnsi="Arial" w:cs="Arial"/>
          <w:sz w:val="22"/>
          <w:szCs w:val="22"/>
          <w:u w:val="single"/>
        </w:rPr>
        <w:t>d</w:t>
      </w:r>
      <w:r w:rsidRPr="000960D2">
        <w:rPr>
          <w:rFonts w:ascii="Arial" w:eastAsia="Calibri" w:hAnsi="Arial" w:cs="Arial"/>
          <w:sz w:val="22"/>
          <w:szCs w:val="22"/>
        </w:rPr>
        <w:t xml:space="preserve"> that the Workers’ Compensation and Rehabilitation Amendment Regulation 2015 be recommended to the Governor in Council for approval.</w:t>
      </w:r>
    </w:p>
    <w:p w:rsidR="004845D0" w:rsidRPr="000960D2" w:rsidRDefault="004845D0" w:rsidP="004845D0">
      <w:pPr>
        <w:numPr>
          <w:ilvl w:val="0"/>
          <w:numId w:val="1"/>
        </w:numPr>
        <w:tabs>
          <w:tab w:val="clear" w:pos="720"/>
          <w:tab w:val="num" w:pos="360"/>
        </w:tabs>
        <w:spacing w:before="240" w:line="235" w:lineRule="auto"/>
        <w:ind w:left="360"/>
        <w:jc w:val="both"/>
        <w:rPr>
          <w:rFonts w:ascii="Arial" w:eastAsia="Calibri" w:hAnsi="Arial" w:cs="Arial"/>
          <w:bCs/>
          <w:spacing w:val="-3"/>
          <w:sz w:val="22"/>
          <w:szCs w:val="22"/>
        </w:rPr>
      </w:pPr>
      <w:r w:rsidRPr="004845D0">
        <w:rPr>
          <w:rFonts w:ascii="Arial" w:eastAsia="Calibri" w:hAnsi="Arial" w:cs="Arial"/>
          <w:bCs/>
          <w:spacing w:val="-3"/>
          <w:sz w:val="22"/>
          <w:szCs w:val="22"/>
          <w:u w:val="single"/>
        </w:rPr>
        <w:t>Cabinet approved</w:t>
      </w:r>
      <w:r>
        <w:rPr>
          <w:rFonts w:ascii="Arial" w:eastAsia="Calibri" w:hAnsi="Arial" w:cs="Arial"/>
          <w:bCs/>
          <w:spacing w:val="-3"/>
          <w:sz w:val="22"/>
          <w:szCs w:val="22"/>
        </w:rPr>
        <w:t xml:space="preserve"> the Government response to the Finance and Administration Committee’s Report No. 8 – Workers’ Compensation and Rehabilitation and Other Legislation Amendment Bill 2015.</w:t>
      </w:r>
    </w:p>
    <w:p w:rsidR="000960D2" w:rsidRPr="000960D2" w:rsidRDefault="000960D2" w:rsidP="00FC7899">
      <w:pPr>
        <w:keepNext/>
        <w:numPr>
          <w:ilvl w:val="0"/>
          <w:numId w:val="1"/>
        </w:numPr>
        <w:tabs>
          <w:tab w:val="clear" w:pos="720"/>
          <w:tab w:val="num" w:pos="360"/>
        </w:tabs>
        <w:spacing w:before="360" w:line="235" w:lineRule="auto"/>
        <w:ind w:left="357" w:hanging="357"/>
        <w:jc w:val="both"/>
        <w:rPr>
          <w:rFonts w:ascii="Arial" w:eastAsia="Calibri" w:hAnsi="Arial" w:cs="Arial"/>
          <w:sz w:val="22"/>
          <w:szCs w:val="22"/>
        </w:rPr>
      </w:pPr>
      <w:r w:rsidRPr="000960D2">
        <w:rPr>
          <w:rFonts w:ascii="Arial" w:eastAsia="Calibri" w:hAnsi="Arial" w:cs="Arial"/>
          <w:i/>
          <w:sz w:val="22"/>
          <w:szCs w:val="22"/>
          <w:u w:val="single"/>
        </w:rPr>
        <w:t>Attachments</w:t>
      </w:r>
    </w:p>
    <w:p w:rsidR="000960D2" w:rsidRPr="00707C2A" w:rsidRDefault="0069166E" w:rsidP="004845D0">
      <w:pPr>
        <w:numPr>
          <w:ilvl w:val="0"/>
          <w:numId w:val="2"/>
        </w:numPr>
        <w:spacing w:before="120" w:line="235" w:lineRule="auto"/>
        <w:ind w:left="811"/>
        <w:jc w:val="both"/>
        <w:rPr>
          <w:rFonts w:ascii="Arial" w:eastAsia="Calibri" w:hAnsi="Arial" w:cs="Arial"/>
          <w:sz w:val="22"/>
          <w:szCs w:val="22"/>
        </w:rPr>
      </w:pPr>
      <w:hyperlink r:id="rId11" w:history="1">
        <w:r w:rsidR="000960D2" w:rsidRPr="00853ADC">
          <w:rPr>
            <w:rStyle w:val="Hyperlink"/>
            <w:rFonts w:ascii="Arial" w:eastAsia="Calibri" w:hAnsi="Arial" w:cs="Arial"/>
            <w:sz w:val="22"/>
            <w:szCs w:val="22"/>
          </w:rPr>
          <w:t>Workers’ Compensation and Rehabilitation Amendment Regulation 2015</w:t>
        </w:r>
      </w:hyperlink>
    </w:p>
    <w:p w:rsidR="000960D2" w:rsidRDefault="0069166E" w:rsidP="004845D0">
      <w:pPr>
        <w:numPr>
          <w:ilvl w:val="0"/>
          <w:numId w:val="2"/>
        </w:numPr>
        <w:spacing w:before="120" w:line="235" w:lineRule="auto"/>
        <w:ind w:left="811"/>
        <w:jc w:val="both"/>
        <w:rPr>
          <w:rFonts w:ascii="Arial" w:eastAsia="Calibri" w:hAnsi="Arial" w:cs="Arial"/>
          <w:sz w:val="22"/>
          <w:szCs w:val="22"/>
        </w:rPr>
      </w:pPr>
      <w:hyperlink r:id="rId12" w:history="1">
        <w:r w:rsidR="000960D2" w:rsidRPr="00853ADC">
          <w:rPr>
            <w:rStyle w:val="Hyperlink"/>
            <w:rFonts w:ascii="Arial" w:eastAsia="Calibri" w:hAnsi="Arial" w:cs="Arial"/>
            <w:sz w:val="22"/>
            <w:szCs w:val="22"/>
          </w:rPr>
          <w:t>Explanatory Notes</w:t>
        </w:r>
        <w:r w:rsidR="00853ADC" w:rsidRPr="00853ADC">
          <w:rPr>
            <w:rStyle w:val="Hyperlink"/>
            <w:rFonts w:ascii="Arial" w:eastAsia="Calibri" w:hAnsi="Arial" w:cs="Arial"/>
            <w:sz w:val="22"/>
            <w:szCs w:val="22"/>
          </w:rPr>
          <w:t xml:space="preserve"> for Workers’ Compensation and Rehabilitation Amendment Regulation 2015</w:t>
        </w:r>
      </w:hyperlink>
    </w:p>
    <w:p w:rsidR="004845D0" w:rsidRDefault="0069166E" w:rsidP="004845D0">
      <w:pPr>
        <w:numPr>
          <w:ilvl w:val="0"/>
          <w:numId w:val="2"/>
        </w:numPr>
        <w:spacing w:before="120" w:line="235" w:lineRule="auto"/>
        <w:ind w:left="811"/>
        <w:jc w:val="both"/>
        <w:rPr>
          <w:rFonts w:ascii="Arial" w:eastAsia="Calibri" w:hAnsi="Arial" w:cs="Arial"/>
          <w:sz w:val="22"/>
          <w:szCs w:val="22"/>
        </w:rPr>
      </w:pPr>
      <w:hyperlink r:id="rId13" w:history="1">
        <w:r w:rsidR="004845D0" w:rsidRPr="00853ADC">
          <w:rPr>
            <w:rStyle w:val="Hyperlink"/>
            <w:rFonts w:ascii="Arial" w:eastAsia="Calibri" w:hAnsi="Arial" w:cs="Arial"/>
            <w:sz w:val="22"/>
            <w:szCs w:val="22"/>
          </w:rPr>
          <w:t>Finance and Administration Committee’s Report No. 8 – Workers’ Compensation and Rehabilitation and Other Legislation Amendment Bill 2015</w:t>
        </w:r>
      </w:hyperlink>
    </w:p>
    <w:p w:rsidR="00732E22" w:rsidRPr="009504EA" w:rsidRDefault="0069166E" w:rsidP="004845D0">
      <w:pPr>
        <w:numPr>
          <w:ilvl w:val="0"/>
          <w:numId w:val="2"/>
        </w:numPr>
        <w:spacing w:before="120" w:line="235" w:lineRule="auto"/>
        <w:ind w:left="811"/>
        <w:jc w:val="both"/>
        <w:rPr>
          <w:rFonts w:ascii="Arial" w:eastAsia="Calibri" w:hAnsi="Arial" w:cs="Arial"/>
          <w:sz w:val="22"/>
          <w:szCs w:val="22"/>
        </w:rPr>
      </w:pPr>
      <w:hyperlink r:id="rId14" w:history="1">
        <w:r w:rsidR="004845D0" w:rsidRPr="00853ADC">
          <w:rPr>
            <w:rStyle w:val="Hyperlink"/>
            <w:rFonts w:ascii="Arial" w:eastAsia="Calibri" w:hAnsi="Arial" w:cs="Arial"/>
            <w:sz w:val="22"/>
            <w:szCs w:val="22"/>
          </w:rPr>
          <w:t>Government response to the Finance and Administration Committee’s Report No. 8 - Workers’ Compensation and Rehabilitation and Other Legislation Amendment Bill 2015</w:t>
        </w:r>
      </w:hyperlink>
    </w:p>
    <w:sectPr w:rsidR="00732E22" w:rsidRPr="009504EA" w:rsidSect="00554171">
      <w:head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8B" w:rsidRDefault="0060398B" w:rsidP="00D6589B">
      <w:r>
        <w:separator/>
      </w:r>
    </w:p>
  </w:endnote>
  <w:endnote w:type="continuationSeparator" w:id="0">
    <w:p w:rsidR="0060398B" w:rsidRDefault="0060398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8B" w:rsidRDefault="0060398B" w:rsidP="00D6589B">
      <w:r>
        <w:separator/>
      </w:r>
    </w:p>
  </w:footnote>
  <w:footnote w:type="continuationSeparator" w:id="0">
    <w:p w:rsidR="0060398B" w:rsidRDefault="0060398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4845D0">
    <w:pPr>
      <w:pBdr>
        <w:top w:val="thinThickLargeGap" w:sz="24" w:space="4" w:color="auto"/>
        <w:left w:val="thinThickLargeGap" w:sz="24" w:space="4" w:color="auto"/>
        <w:bottom w:val="thickThinLargeGap" w:sz="24" w:space="4" w:color="auto"/>
        <w:right w:val="thickThinLargeGap" w:sz="24" w:space="4" w:color="auto"/>
      </w:pBdr>
      <w:spacing w:line="235" w:lineRule="auto"/>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4845D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line="235" w:lineRule="auto"/>
      <w:rPr>
        <w:rFonts w:ascii="Arial" w:hAnsi="Arial" w:cs="Arial"/>
        <w:b/>
        <w:color w:val="auto"/>
        <w:sz w:val="14"/>
        <w:szCs w:val="22"/>
        <w:u w:val="single"/>
        <w:lang w:eastAsia="en-US"/>
      </w:rPr>
    </w:pPr>
  </w:p>
  <w:p w:rsidR="00937A4A" w:rsidRPr="00937A4A" w:rsidRDefault="00937A4A" w:rsidP="004845D0">
    <w:pPr>
      <w:pBdr>
        <w:top w:val="thinThickLargeGap" w:sz="24" w:space="4" w:color="auto"/>
        <w:left w:val="thinThickLargeGap" w:sz="24" w:space="4" w:color="auto"/>
        <w:bottom w:val="thickThinLargeGap" w:sz="24" w:space="4" w:color="auto"/>
        <w:right w:val="thickThinLargeGap" w:sz="24" w:space="4" w:color="auto"/>
      </w:pBdr>
      <w:tabs>
        <w:tab w:val="center" w:pos="0"/>
      </w:tabs>
      <w:spacing w:line="235" w:lineRule="auto"/>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C7899">
      <w:rPr>
        <w:rFonts w:ascii="Arial" w:hAnsi="Arial" w:cs="Arial"/>
        <w:b/>
        <w:color w:val="auto"/>
        <w:sz w:val="22"/>
        <w:szCs w:val="22"/>
        <w:lang w:eastAsia="en-US"/>
      </w:rPr>
      <w:t>September</w:t>
    </w:r>
    <w:r w:rsidR="00CD6F5E">
      <w:rPr>
        <w:rFonts w:ascii="Arial" w:hAnsi="Arial" w:cs="Arial"/>
        <w:b/>
        <w:color w:val="auto"/>
        <w:sz w:val="22"/>
        <w:szCs w:val="22"/>
        <w:lang w:eastAsia="en-US"/>
      </w:rPr>
      <w:t xml:space="preserve"> </w:t>
    </w:r>
    <w:r w:rsidR="00342CC6">
      <w:rPr>
        <w:rFonts w:ascii="Arial" w:hAnsi="Arial" w:cs="Arial"/>
        <w:b/>
        <w:color w:val="auto"/>
        <w:sz w:val="22"/>
        <w:szCs w:val="22"/>
        <w:lang w:eastAsia="en-US"/>
      </w:rPr>
      <w:t>2015</w:t>
    </w:r>
  </w:p>
  <w:p w:rsidR="00CB1501" w:rsidRDefault="00342CC6" w:rsidP="004845D0">
    <w:pPr>
      <w:pStyle w:val="Header"/>
      <w:spacing w:before="120" w:line="235" w:lineRule="auto"/>
      <w:jc w:val="both"/>
      <w:rPr>
        <w:rFonts w:ascii="Arial" w:hAnsi="Arial" w:cs="Arial"/>
        <w:b/>
        <w:sz w:val="22"/>
        <w:szCs w:val="22"/>
        <w:u w:val="single"/>
      </w:rPr>
    </w:pPr>
    <w:r w:rsidRPr="00342CC6">
      <w:rPr>
        <w:rFonts w:ascii="Arial" w:hAnsi="Arial" w:cs="Arial"/>
        <w:b/>
        <w:sz w:val="22"/>
        <w:szCs w:val="22"/>
        <w:u w:val="single"/>
      </w:rPr>
      <w:t>Workers’ Compensation and Rehabilitation Amendment Regulation 2015</w:t>
    </w:r>
    <w:r w:rsidR="004845D0">
      <w:rPr>
        <w:rFonts w:ascii="Arial" w:hAnsi="Arial" w:cs="Arial"/>
        <w:b/>
        <w:sz w:val="22"/>
        <w:szCs w:val="22"/>
        <w:u w:val="single"/>
      </w:rPr>
      <w:t xml:space="preserve"> and response to Parliament’s Finance and Administration Committee on the Workers’ Compensation and Rehabilitation and Other Legislation Amendment Bill 2015</w:t>
    </w:r>
  </w:p>
  <w:p w:rsidR="00CB1501" w:rsidRDefault="00C85DF6" w:rsidP="004845D0">
    <w:pPr>
      <w:pStyle w:val="Header"/>
      <w:spacing w:before="120" w:line="235" w:lineRule="auto"/>
      <w:jc w:val="both"/>
      <w:rPr>
        <w:rFonts w:ascii="Arial" w:hAnsi="Arial" w:cs="Arial"/>
        <w:b/>
        <w:sz w:val="22"/>
        <w:szCs w:val="22"/>
        <w:u w:val="single"/>
      </w:rPr>
    </w:pPr>
    <w:r>
      <w:rPr>
        <w:rFonts w:ascii="Arial" w:hAnsi="Arial" w:cs="Arial"/>
        <w:b/>
        <w:sz w:val="22"/>
        <w:szCs w:val="22"/>
        <w:u w:val="single"/>
      </w:rPr>
      <w:t>Treasurer</w:t>
    </w:r>
    <w:r w:rsidR="00081486">
      <w:rPr>
        <w:rFonts w:ascii="Arial" w:hAnsi="Arial" w:cs="Arial"/>
        <w:b/>
        <w:sz w:val="22"/>
        <w:szCs w:val="22"/>
        <w:u w:val="single"/>
      </w:rPr>
      <w:t>, Minister for Employment and Industrial Relations</w:t>
    </w:r>
    <w:r w:rsidR="00372260">
      <w:rPr>
        <w:rFonts w:ascii="Arial" w:hAnsi="Arial" w:cs="Arial"/>
        <w:b/>
        <w:sz w:val="22"/>
        <w:szCs w:val="22"/>
        <w:u w:val="single"/>
      </w:rPr>
      <w:t>,</w:t>
    </w:r>
    <w:r>
      <w:rPr>
        <w:rFonts w:ascii="Arial" w:hAnsi="Arial" w:cs="Arial"/>
        <w:b/>
        <w:sz w:val="22"/>
        <w:szCs w:val="22"/>
        <w:u w:val="single"/>
      </w:rPr>
      <w:t xml:space="preserve"> Minister for </w:t>
    </w:r>
    <w:r w:rsidR="00081486">
      <w:rPr>
        <w:rFonts w:ascii="Arial" w:hAnsi="Arial" w:cs="Arial"/>
        <w:b/>
        <w:sz w:val="22"/>
        <w:szCs w:val="22"/>
        <w:u w:val="single"/>
      </w:rPr>
      <w:t>Aboriginal and Torres Strait Islander Partnerships</w:t>
    </w:r>
  </w:p>
  <w:p w:rsidR="00554171" w:rsidRPr="004845D0" w:rsidRDefault="00554171" w:rsidP="00554171">
    <w:pPr>
      <w:pStyle w:val="Header"/>
      <w:pBdr>
        <w:bottom w:val="single" w:sz="4" w:space="1" w:color="auto"/>
      </w:pBdr>
      <w:spacing w:line="235" w:lineRule="auto"/>
      <w:jc w:val="both"/>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228A5"/>
    <w:multiLevelType w:val="hybridMultilevel"/>
    <w:tmpl w:val="D7D6C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ocumentProtection w:edit="trackedChange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7AE8"/>
    <w:rsid w:val="000360EF"/>
    <w:rsid w:val="0007043E"/>
    <w:rsid w:val="00080F8F"/>
    <w:rsid w:val="00081486"/>
    <w:rsid w:val="000960D2"/>
    <w:rsid w:val="000C7D1B"/>
    <w:rsid w:val="000F10DD"/>
    <w:rsid w:val="0010384C"/>
    <w:rsid w:val="00174117"/>
    <w:rsid w:val="001E4823"/>
    <w:rsid w:val="002741FA"/>
    <w:rsid w:val="002F636A"/>
    <w:rsid w:val="00302E43"/>
    <w:rsid w:val="003169DA"/>
    <w:rsid w:val="00342CC6"/>
    <w:rsid w:val="00356DF6"/>
    <w:rsid w:val="00372260"/>
    <w:rsid w:val="00380F7B"/>
    <w:rsid w:val="00396F0D"/>
    <w:rsid w:val="003A2ED5"/>
    <w:rsid w:val="004845D0"/>
    <w:rsid w:val="00501C66"/>
    <w:rsid w:val="00521243"/>
    <w:rsid w:val="00550873"/>
    <w:rsid w:val="00554171"/>
    <w:rsid w:val="005E24EA"/>
    <w:rsid w:val="0060398B"/>
    <w:rsid w:val="0069166E"/>
    <w:rsid w:val="0070008C"/>
    <w:rsid w:val="00707C2A"/>
    <w:rsid w:val="007265D0"/>
    <w:rsid w:val="00732E22"/>
    <w:rsid w:val="00741C20"/>
    <w:rsid w:val="007517F4"/>
    <w:rsid w:val="00775A42"/>
    <w:rsid w:val="0082506C"/>
    <w:rsid w:val="00846E1D"/>
    <w:rsid w:val="00853ADC"/>
    <w:rsid w:val="00904077"/>
    <w:rsid w:val="00937A4A"/>
    <w:rsid w:val="009451B0"/>
    <w:rsid w:val="00945402"/>
    <w:rsid w:val="009504EA"/>
    <w:rsid w:val="009801EB"/>
    <w:rsid w:val="009B15D3"/>
    <w:rsid w:val="00A909E4"/>
    <w:rsid w:val="00AA2BD7"/>
    <w:rsid w:val="00AC4347"/>
    <w:rsid w:val="00B63E11"/>
    <w:rsid w:val="00BE02C5"/>
    <w:rsid w:val="00C06298"/>
    <w:rsid w:val="00C75E67"/>
    <w:rsid w:val="00C85DF6"/>
    <w:rsid w:val="00CA62F3"/>
    <w:rsid w:val="00CB1501"/>
    <w:rsid w:val="00CD6F5E"/>
    <w:rsid w:val="00CD7A50"/>
    <w:rsid w:val="00CE1CEE"/>
    <w:rsid w:val="00CE72FE"/>
    <w:rsid w:val="00CF0D8A"/>
    <w:rsid w:val="00D1740E"/>
    <w:rsid w:val="00D6589B"/>
    <w:rsid w:val="00D766EC"/>
    <w:rsid w:val="00DD012E"/>
    <w:rsid w:val="00E84A1E"/>
    <w:rsid w:val="00EA488B"/>
    <w:rsid w:val="00EE7C51"/>
    <w:rsid w:val="00F13DBE"/>
    <w:rsid w:val="00F804EC"/>
    <w:rsid w:val="00F83743"/>
    <w:rsid w:val="00F93721"/>
    <w:rsid w:val="00FC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07C2A"/>
    <w:pPr>
      <w:ind w:left="720"/>
      <w:contextualSpacing/>
    </w:pPr>
  </w:style>
  <w:style w:type="character" w:styleId="Hyperlink">
    <w:name w:val="Hyperlink"/>
    <w:uiPriority w:val="99"/>
    <w:unhideWhenUsed/>
    <w:rsid w:val="00853A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gulatio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Respon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Props1.xml><?xml version="1.0" encoding="utf-8"?>
<ds:datastoreItem xmlns:ds="http://schemas.openxmlformats.org/officeDocument/2006/customXml" ds:itemID="{007048FE-190A-46C0-9B79-2C20659B9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902B6-E88F-4488-ACD1-C31F79058E47}">
  <ds:schemaRefs>
    <ds:schemaRef ds:uri="http://schemas.microsoft.com/sharepoint/events"/>
  </ds:schemaRefs>
</ds:datastoreItem>
</file>

<file path=customXml/itemProps3.xml><?xml version="1.0" encoding="utf-8"?>
<ds:datastoreItem xmlns:ds="http://schemas.openxmlformats.org/officeDocument/2006/customXml" ds:itemID="{B7A11B39-5611-4133-B756-7882E9BBB3DE}">
  <ds:schemaRefs>
    <ds:schemaRef ds:uri="http://schemas.microsoft.com/sharepoint/v3/contenttype/forms"/>
  </ds:schemaRefs>
</ds:datastoreItem>
</file>

<file path=customXml/itemProps4.xml><?xml version="1.0" encoding="utf-8"?>
<ds:datastoreItem xmlns:ds="http://schemas.openxmlformats.org/officeDocument/2006/customXml" ds:itemID="{4321ECA0-9B9E-4F06-935F-98BCE2289951}">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307</Words>
  <Characters>1872</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CharactersWithSpaces>
  <SharedDoc>false</SharedDoc>
  <HyperlinkBase>https://www.cabinet.qld.gov.au/documents/2015/Sep/WorkCompReg/</HyperlinkBase>
  <HLinks>
    <vt:vector size="24" baseType="variant">
      <vt:variant>
        <vt:i4>4915281</vt:i4>
      </vt:variant>
      <vt:variant>
        <vt:i4>9</vt:i4>
      </vt:variant>
      <vt:variant>
        <vt:i4>0</vt:i4>
      </vt:variant>
      <vt:variant>
        <vt:i4>5</vt:i4>
      </vt:variant>
      <vt:variant>
        <vt:lpwstr>Attachments/Response.PDF</vt:lpwstr>
      </vt:variant>
      <vt:variant>
        <vt:lpwstr/>
      </vt:variant>
      <vt:variant>
        <vt:i4>2818108</vt:i4>
      </vt:variant>
      <vt:variant>
        <vt:i4>6</vt:i4>
      </vt:variant>
      <vt:variant>
        <vt:i4>0</vt:i4>
      </vt:variant>
      <vt:variant>
        <vt:i4>5</vt:i4>
      </vt:variant>
      <vt:variant>
        <vt:lpwstr>Attachments/Report.PDF</vt:lpwstr>
      </vt:variant>
      <vt:variant>
        <vt:lpwstr/>
      </vt:variant>
      <vt:variant>
        <vt:i4>8061050</vt:i4>
      </vt:variant>
      <vt:variant>
        <vt:i4>3</vt:i4>
      </vt:variant>
      <vt:variant>
        <vt:i4>0</vt:i4>
      </vt:variant>
      <vt:variant>
        <vt:i4>5</vt:i4>
      </vt:variant>
      <vt:variant>
        <vt:lpwstr>Attachments/ExNotes.PDF</vt:lpwstr>
      </vt:variant>
      <vt:variant>
        <vt:lpwstr/>
      </vt:variant>
      <vt:variant>
        <vt:i4>2293806</vt:i4>
      </vt:variant>
      <vt:variant>
        <vt:i4>0</vt:i4>
      </vt:variant>
      <vt:variant>
        <vt:i4>0</vt:i4>
      </vt:variant>
      <vt:variant>
        <vt:i4>5</vt:i4>
      </vt:variant>
      <vt:variant>
        <vt:lpwstr>Attachments/Regulation.PDF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2016-07-06T04:55:00Z</cp:lastPrinted>
  <dcterms:created xsi:type="dcterms:W3CDTF">2017-10-25T01:36:00Z</dcterms:created>
  <dcterms:modified xsi:type="dcterms:W3CDTF">2018-03-06T01:33:00Z</dcterms:modified>
  <cp:category>Legislation,Workers_Compensation,Parliamentary_Committees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610a74c8-61a9-4a37-a968-a2ad93dd7651</vt:lpwstr>
  </property>
  <property fmtid="{D5CDD505-2E9C-101B-9397-08002B2CF9AE}" pid="5" name="RecordPoint_WorkflowType">
    <vt:lpwstr>ActiveSubmitStub</vt:lpwstr>
  </property>
  <property fmtid="{D5CDD505-2E9C-101B-9397-08002B2CF9AE}" pid="6" name="RecordPoint_ActiveItemListId">
    <vt:lpwstr>{95ee723f-7e30-47a4-b556-fd4bfa065a81}</vt:lpwstr>
  </property>
  <property fmtid="{D5CDD505-2E9C-101B-9397-08002B2CF9AE}" pid="7" name="RecordPoint_ActiveItemUniqueId">
    <vt:lpwstr>{610a74c8-61a9-4a37-a968-a2ad93dd7651}</vt:lpwstr>
  </property>
  <property fmtid="{D5CDD505-2E9C-101B-9397-08002B2CF9AE}" pid="8" name="RecordPoint_ActiveItemWebId">
    <vt:lpwstr>{91bdefb8-0d65-4ccd-aa84-73bfa87f031c}</vt:lpwstr>
  </property>
  <property fmtid="{D5CDD505-2E9C-101B-9397-08002B2CF9AE}" pid="9" name="RecordPoint_ActiveItemSiteId">
    <vt:lpwstr>{f29e4956-d8cc-4968-b023-b21d1091687a}</vt:lpwstr>
  </property>
  <property fmtid="{D5CDD505-2E9C-101B-9397-08002B2CF9AE}" pid="10" name="RecordPoint_RecordNumberSubmitted">
    <vt:lpwstr>R0000142763</vt:lpwstr>
  </property>
  <property fmtid="{D5CDD505-2E9C-101B-9397-08002B2CF9AE}" pid="11" name="RecordPoint_SubmissionCompleted">
    <vt:lpwstr>2016-07-06T19:44:55.9062791+10:00</vt:lpwstr>
  </property>
  <property fmtid="{D5CDD505-2E9C-101B-9397-08002B2CF9AE}" pid="12" name="_dlc_DocId">
    <vt:lpwstr>BUSNCLLO-74-36</vt:lpwstr>
  </property>
  <property fmtid="{D5CDD505-2E9C-101B-9397-08002B2CF9AE}" pid="13" name="_dlc_DocIdUrl">
    <vt:lpwstr>https://nexus.treasury.qld.gov.au/business/cabinet-services/dpc-reporting/_layouts/15/DocIdRedir.aspx?ID=BUSNCLLO-74-36, BUSNCLLO-74-36</vt:lpwstr>
  </property>
</Properties>
</file>